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0" distT="0" distL="0" distR="0">
            <wp:extent cx="3800475" cy="700088"/>
            <wp:effectExtent b="0" l="0" r="0" t="0"/>
            <wp:docPr descr="http://www.mcfarland.k12.wi.us/uploads/image/TAG/summer_sun_clip_art_jpg.png" id="1" name="image1.png"/>
            <a:graphic>
              <a:graphicData uri="http://schemas.openxmlformats.org/drawingml/2006/picture">
                <pic:pic>
                  <pic:nvPicPr>
                    <pic:cNvPr descr="http://www.mcfarland.k12.wi.us/uploads/image/TAG/summer_sun_clip_art_jpg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00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June 4, 2019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Dear 7th and 8th grade Parents / Guardians: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We are looking forward to working with your child and you in August!</w:t>
      </w:r>
      <w:r w:rsidDel="00000000" w:rsidR="00000000" w:rsidRPr="00000000">
        <w:rPr>
          <w:rtl w:val="0"/>
        </w:rPr>
        <w:t xml:space="preserve">  In order for you to benefit from the “Back to School” sales that will surely start right after the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July, we are sending home the list of supplies that your child will need in September.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General Supplies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homework assignment book/planner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sharpened pencils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pencil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enclosed pencil sharpener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large glue stick/bottle of glue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box of crayons (</w:t>
      </w:r>
      <w:r w:rsidDel="00000000" w:rsidR="00000000" w:rsidRPr="00000000">
        <w:rPr>
          <w:rtl w:val="0"/>
        </w:rPr>
        <w:t xml:space="preserve">no more than 24) OR 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colored pencils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markers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bookbag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box of tissues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</w:rPr>
      </w:pPr>
      <w:r w:rsidDel="00000000" w:rsidR="00000000" w:rsidRPr="00000000">
        <w:rPr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roll of paper towels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bottle of hand sanitizer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inexpensive pair of earphones (headphones) that can be left at school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 pack of printer paper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highlighters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 for Ms. Fullam’s Math Class: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One notebook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folder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Clear ruler (in. and cm.)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Calculator – Texas Instruments </w:t>
      </w:r>
      <w:r w:rsidDel="00000000" w:rsidR="00000000" w:rsidRPr="00000000">
        <w:rPr>
          <w:b w:val="1"/>
          <w:rtl w:val="0"/>
        </w:rPr>
        <w:t xml:space="preserve">– Will be used through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TI - 34 Multiview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TI – 34II Scientific Calculator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TI – 30XIIS Scientific Calculator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TI – 73 Explorer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Supplies for Mr. Mulvey’s Reading: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1 - three subject notebook for Reading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1-  folder for Reading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 for Ms. Krovetz’s Class: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Pack of printer paper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Box of tissues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Pack of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**CONTINUED ON BACK**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Homework: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rPr/>
      </w:pPr>
      <w:r w:rsidDel="00000000" w:rsidR="00000000" w:rsidRPr="00000000">
        <w:rPr>
          <w:rtl w:val="0"/>
        </w:rPr>
        <w:t xml:space="preserve">Also, studies have shown that children lose academic achievement in the summer months.  To help avoid that, we will be assigning summer assignments, which were sent home in a plastic folder.  These assignments are due on the first day of school and will be graded.  Those grades will go toward the first marking period of next school year.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/>
      </w:pPr>
      <w:r w:rsidDel="00000000" w:rsidR="00000000" w:rsidRPr="00000000">
        <w:rPr>
          <w:rtl w:val="0"/>
        </w:rPr>
        <w:t xml:space="preserve"> Enjoy your summer!!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  <w:t xml:space="preserve">Kimberly Fullam</w:t>
      </w:r>
    </w:p>
    <w:p w:rsidR="00000000" w:rsidDel="00000000" w:rsidP="00000000" w:rsidRDefault="00000000" w:rsidRPr="00000000" w14:paraId="0000003C">
      <w:pPr>
        <w:ind w:firstLine="720"/>
        <w:jc w:val="righ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kafullam@philasd.org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  <w:t xml:space="preserve">Patrick Mulvey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pmulvey@philasd.org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  <w:t xml:space="preserve">Tina Krovetz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tkrovetz@philasd.org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krovetz@philasd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aturner@philasd.org" TargetMode="External"/><Relationship Id="rId8" Type="http://schemas.openxmlformats.org/officeDocument/2006/relationships/hyperlink" Target="mailto:pmulvey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